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中华人民共和国食品安全法实施条例</w:t>
      </w:r>
    </w:p>
    <w:p>
      <w:pPr>
        <w:jc w:val="center"/>
        <w:rPr>
          <w:rFonts w:hint="eastAsia"/>
          <w:sz w:val="28"/>
          <w:szCs w:val="28"/>
        </w:rPr>
      </w:pPr>
      <w:r>
        <w:rPr>
          <w:rFonts w:hint="eastAsia"/>
          <w:sz w:val="28"/>
          <w:szCs w:val="28"/>
        </w:rPr>
        <w:t>现行有效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时效性现行有效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发布日期2019-10-11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实施日期2019-12-01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发布机关</w:t>
      </w:r>
      <w:r>
        <w:rPr>
          <w:rFonts w:hint="eastAsia"/>
          <w:sz w:val="32"/>
          <w:szCs w:val="32"/>
          <w:lang w:eastAsia="zh-CN"/>
        </w:rPr>
        <w:t>：</w:t>
      </w:r>
      <w:r>
        <w:rPr>
          <w:rFonts w:hint="eastAsia"/>
          <w:sz w:val="32"/>
          <w:szCs w:val="32"/>
        </w:rPr>
        <w:t>国务院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正文</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根据《中华人民共和国食品安全法》（以下简称食品安全法），制定本条例。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食品生产经营者应当依照法律、法规和食品安全标准从事生产经营活动，建立健全食品安全管理制度，采取有效措施预防和控制食品安全风险，保证食品安全。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食品安全委员会负责分析食品安全形势，研究部署、统筹指导食品安全工作，提出食品安全监督管理的重大政策措施，督促落实食品安全监督管理责任。县级以上地方人民政府食品安全委员会按照本级人民政府规定的职责开展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县级以上人民政府建立统一权威的食品安全监督管理体制，加强食品安全监督管理能力建设。 县级以上人民政府食品安全监督管理部门和其他有关部门应当依法履行职责，加强协调配合，做好食品安全监督管理工作。 乡镇人民政府和街道办事处应当支持、协助县级人民政府食品安全监督管理部门及其派出机构依法开展食品安全监督管理工作。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国家将食品安全知识纳入国民素质教育内容，普及食品安全科学常识和法律知识，提高全社会的食品安全意识。</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第二章　食品安全风险监测和评估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卫生行政部门会同同级食品安全监督管理等部门建立食品安全风险监测会商机制，汇总、分析风险监测数据，研判食品安全风险，形成食品安全风险监测分析报告，报本级人民政府；县级以上地方人民政府卫生行政部门还应当将食品安全风险监测分析报告同时报上一级人民政府卫生行政部门。食品安全风险监测会商的具体办法由国务院卫生行政部门会同国务院食品安全监督管理等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食品安全风险监测结果表明存在食品安全隐患，食品安全监督管理等部门经进一步调查确认有必要通知相关食品生产经营者的，应当及时通知。 接到通知的食品生产经营者应当立即进行自查，发现食品不符合食品安全标准或者有证据证明可能危害人体健康的，应当依照食品安全法第六十三条的规定停止生产、经营，实施食品召回，并报告相关情况。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卫生行政、食品安全监督管理等部门发现需要对农药、肥料、兽药、饲料和饲料添加剂等进行安全性评估的，应当向国务院农业行政部门提出安全性评估建议。国务院农业行政部门应当及时组织评估，并向国务院有关部门通报评估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国务院食品安全监督管理部门和其他有关部门建立食品安全风险信息交流机制，明确食品安全风险信息交流的内容、程序和要求。</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第三章　食品安全标准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卫生行政部门会同国务院食品安全监督管理、农业行政等部门制定食品安全国家标准规划及其年度实施计划。国务院卫生行政部门应当在其网站上公布食品安全国家标准规划及其年度实施计划的草案，公开征求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省、自治区、直辖市人民政府卫生行政部门依照食品安全法第二十九条的规定制定食品安全地方标准，应当公开征求意见。省、自治区、直辖市人民政府卫生行政部门应当自食品安全地方标准公布之日起30个工作日内，将地方标准报国务院卫生行政部门备案。国务院卫生行政部门发现备案的食品安全地方标准违反法律、法规或者食品安全国家标准的，应当及时予以纠正。 食品安全地方标准依法废止的，省、自治区、直辖市人民政府卫生行政部门应当及时在其网站上公布废止情况。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保健食品、特殊医学用途配方食品、婴幼儿配方食品等特殊食品不属于地方特色食品，不得对其制定食品安全地方标准。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食品安全标准公布后，食品生产经营者可以在食品安全标准规定的实施日期之前实施并公开提前实施情况。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企业不得制定低于食品安全国家标准或者地方标准要求的企业标准。食品生产企业制定食品安全指标严于食品安全国家标准或者地方标准的企业标准的，应当报省、自治区、直辖市人民政府卫生行政部门备案。 食品生产企业制定企业标准的，应当公开，供公众免费查阅。</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第四章　食品生产经营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食品生产经营许可的有效期为5年。 食品生产经营者的生产经营条件发生变化，不再符合食品生产经营要求的，食品生产经营者应当立即采取整改措施；需要重新办理许可手续的，应当依法办理。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国务院卫生行政部门应当及时公布新的食品原料、食品添加剂新品种和食品相关产品新品种目录以及所适用的食品安全国家标准。 对按照传统既是食品又是中药材的物质目录，国务院卫生行政部门会同国务院食品安全监督管理部门应当及时更新。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国务院食品安全监督管理部门会同国务院农业行政等有关部门明确食品安全全程追溯基本要求，指导食品生产经营者通过信息化手段建立、完善食品安全追溯体系。 食品安全监督管理等部门应当将婴幼儿配方食品等针对特定人群的食品以及其他食品安全风险较高或者销售量大的食品的追溯体系建设作为监督检查的重点。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食品生产经营者应当建立食品安全追溯体系，依照食品安全法的规定如实记录并保存进货查验、出厂检验、食品销售等信息，保证食品可追溯。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企业的主要负责人对本企业的食品安全工作全面负责，建立并落实本企业的食品安全责任制，加强供货者管理、进货查验和出厂检验、生产经营过程控制、食品安全自查等工作。食品生产经营企业的食品安全管理人员应当协助企业主要负责人做好食品安全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企业应当加强对食品安全管理人员的培训和考核。食品安全管理人员应当掌握与其岗位相适应的食品安全法律、法规、标准和专业知识，具备食品安全管理能力。食品安全监督管理部门应当对企业食品安全管理人员进行随机监督抽查考核。考核指南由国务院食品安全监督管理部门制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食品添加剂生产经营者委托生产食品、食品添加剂的，应当委托取得食品生产许可、食品添加剂生产许可的生产者生产，并对其生产行为进行监督，对委托生产的食品、食品添加剂的安全负责。受托方应当依照法律、法规、食品安全标准以及合同约定进行生产，对生产行为负责，并接受委托方的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食品生产经营者不得在食品生产、加工场所贮存依照本条例第六十三条规定制定的名录中的物质。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对食品进行辐照加工，应当遵守食品安全国家标准，并按照食品安全国家标准的要求对辐照加工食品进行检验和标注。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贮存、运输对温度、湿度等有特殊要求的食品，应当具备保温、冷藏或者冷冻等设备设施，并保持有效运行。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委托贮存、运输食品的，应当对受托方的食品安全保障能力进行审核，并监督受托方按照保证食品安全的要求贮存、运输食品。受托方应当保证食品贮存、运输条件符合食品安全的要求，加强食品贮存、运输过程管理。 接受食品生产经营者委托贮存、运输食品的，应当如实记录委托方和收货方的名称、地址、联系方式等内容。记录保存期限不得少于贮存、运输结束后2年。 非食品生产经营者从事对温度、湿度等有特殊要求的食品贮存业务的，应当自取得营业执照之日起30个工作日内向所在地县级人民政府食品安全监督管理部门备案。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餐饮服务提供者委托餐具饮具集中消毒服务单位提供清洗消毒服务的，应当查验、留存餐具饮具集中消毒服务单位的营业执照复印件和消毒合格证明。保存期限不得少于消毒餐具饮具使用期限到期后6个月。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餐具饮具集中消毒服务单位应当建立餐具饮具出厂检验记录制度，如实记录出厂餐具饮具的数量、消毒日期和批号、使用期限、出厂日期以及委托方名称、地址、联系方式等内容。出厂检验记录保存期限不得少于消毒餐具饮具使用期限到期后6个月。消毒后的餐具饮具应当在独立包装上标注单位名称、地址、联系方式、消毒日期和批号以及使用期限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学校、托幼机构、养老机构、建筑工地等集中用餐单位的食堂应当执行原料控制、餐具饮具清洗消毒、食品留样等制度，并依照食品安全法第四十七条的规定定期开展食堂食品安全自查。 承包经营集中用餐单位食堂的，应当依法取得食品经营许可，并对食堂的食品安全负责。集中用餐单位应当督促承包方落实食品安全管理制度，承担管理责任。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第二十九条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应当对变质、超过保质期或者回收的食品进行显著标示或者单独存放在有明确标志的场所，及时采取无害化处理、销毁等措施并如实记录。食品安全法所称回收食品，是指已经售出，因违反法律、法规、食品安全标准或者超过保质期等原因，被召回或者退回的食品，不包括依照食品安全法第六十三条第三款的规定可以继续销售的食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县级以上地方人民政府根据需要建设必要的食品无害化处理和销毁设施。食品生产经营者可以按照规定使用政府建设的设施对食品进行无害化处理或者予以销毁。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食品集中交易市场的开办者、食品展销会的举办者应当在市场开业或者展销会举办前向所在地县级人民政府食品安全监督管理部门报告。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网络食品交易第三方平台提供者应当妥善保存入网食品经营者的登记信息和交易信息。县级以上人民政府食品安全监督管理部门开展食品安全监督检查、食品安全案件调查处理、食品安全事故处置确需了解有关信息的，经其负责人批准，可以要求网络食品交易第三方平台提供者提供，网络食品交易第三方平台提供者应当按照要求提供。县级以上人民政府食品安全监督管理部门及其工作人员对网络食品交易第三方平台提供者提供的信息依法负有保密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生产经营转基因食品应当显著标示，标示办法由国务院食品安全监督管理部门会同国务院农业行政部门制定。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禁止利用包括会议、讲座、健康咨询在内的任何方式对食品进行虚假宣传。食品安全监督管理部门发现虚假宣传行为的，应当依法及时处理。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保健食品生产工艺有原料提取、纯化等前处理工序的，生产企业应当具备相应的原料前处理能力。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特殊医学用途配方食品生产企业应当按照食品安全国家标准规定的检验项目对出厂产品实施逐批检验。 特殊医学用途配方食品中的特定全营养配方食品应当通过医疗机构或者药品零售企业向消费者销售。医疗机构、药品零售企业销售特定全营养配方食品的，不需要取得食品经营许可，但是应当遵守食品安全法和本条例关于食品销售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特殊医学用途配方食品中的特定全营养配方食品广告按照处方药广告管理，其他类别的特殊医学用途配方食品广告按照非处方药广告管理。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对保健食品之外的其他食品，不得声称具有保健功能。 对添加食品安全国家标准规定的选择性添加物质的婴幼儿配方食品，不得以选择性添加物质命名。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第三十九条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特殊食品的标签、说明书内容应当与注册或者备案的标签、说明书一致。销售特殊食品，应当核对食品标签、说明书内容是否与注册或者备案的标签、说明书一致，不一致的不得销售。省级以上人民政府食品安全监督管理部门应当在其网站上公布注册或者备案的特殊食品的标签、说明书。 特殊食品不得与普通食品或者药品混放销售。</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第五章　食品检验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对食品进行抽样检验，应当按照食品安全标准、注册或者备案的特殊食品的产品技术要求以及国家有关规定确定的检验项目和检验方法进行。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可能掺杂掺假的食品，按照现有食品安全标准规定的检验项目和检验方法以及依照食品安全法第一百一十一条和本条例第六十三条规定制定的检验项目和检验方法无法检验的，国务院食品安全监督管理部门可以制定补充检验项目和检验方法，用于对食品的抽样检验、食品安全案件调查处理和食品安全事故处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依照食品安全法第八十八条的规定申请复检的，申请人应当向复检机构先行支付复检费用。复检结论表明食品不合格的，复检费用由复检申请人承担；复检结论表明食品合格的，复检费用由实施抽样检验的食品安全监督管理部门承担。 复检机构无正当理由不得拒绝承担复检任务。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任何单位和个人不得发布未依法取得资质认定的食品检验机构出具的食品检验信息，不得利用上述检验信息对食品、食品生产经营者进行等级评定，欺骗、误导消费者。</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第六章　食品进出口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进口商进口食品、食品添加剂，应当按照规定向出入境检验检疫机构报检，如实申报产品相关信息，并随附法律、行政法规规定的合格证明材料。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进口食品运达口岸后，应当存放在出入境检验检疫机构指定或者认可的场所；需要移动的，应当按照出入境检验检疫机构的要求采取必要的安全防护措施。大宗散装进口食品应当在卸货口岸进行检验。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国家出入境检验检疫部门根据风险管理需要，可以对部分食品实行指定口岸进口。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卫生行政部门依照食品安全法第九十三条的规定对境外出口商、境外生产企业或者其委托的进口商提交的相关国家（地区）标准或者国际标准进行审查，认为符合食品安全要求的，决定暂予适用并予以公布；暂予适用的标准公布前，不得进口尚无食品安全国家标准的食品。 食品安全国家标准中通用标准已经涵盖的食品不属于食品安全法第九十三条规定的尚无食品安全国家标准的食品。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进口商应当建立境外出口商、境外生产企业审核制度，重点审核境外出口商、境外生产企业制定和执行食品安全风险控制措施的情况以及向我国出口的食品是否符合食品安全法、本条例和其他有关法律、行政法规的规定以及食品安全国家标准的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第四十九条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进口商依照食品安全法第九十四条第三款的规定召回进口食品的，应当将食品召回和处理情况向所在地县级人民政府食品安全监督管理部门和所在地出入境检验检疫机构报告。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出入境检验检疫部门发现已经注册的境外食品生产企业不再符合注册要求的，应当责令其在规定期限内整改，整改期间暂停进口其生产的食品；经整改仍不符合注册要求的，国家出入境检验检疫部门应当撤销境外食品生产企业注册并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对通过我国良好生产规范、危害分析与关键控制点体系认证的境外生产企业，认证机构应当依法实施跟踪调查。对不再符合认证要求的企业，认证机构应当依法撤销认证并向社会公布。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境外发生的食品安全事件可能对我国境内造成影响，或者在进口食品、食品添加剂、食品相关产品中发现严重食品安全问题的，国家出入境检验检疫部门应当及时进行风险预警，并可以对相关的食品、食品添加剂、食品相关产品采取下列控制措施： （一）退货或者销毁处理； （二）有条件地限制进口； （三）暂停或者禁止进口。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出口食品、食品添加剂的生产企业应当保证其出口食品、食品添加剂符合进口国家（地区）的标准或者合同要求；我国缔结或者参加的国际条约、协定有要求的，还应当符合国际条约、协定的要求。</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第七章　食品安全事故处置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食品安全事故按照国家食品安全事故应急预案实行分级管理。县级以上人民政府食品安全监督管理部门会同同级有关部门负责食品安全事故调查处理。 县级以上人民政府应当根据实际情况及时修改、完善食品安全事故应急预案。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县级以上人民政府应当完善食品安全事故应急管理机制，改善应急装备，做好应急物资储备和应急队伍建设，加强应急培训、演练。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发生食品安全事故的单位应当对导致或者可能导致食品安全事故的食品及原料、工具、设备、设施等，立即采取封存等控制措施。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食品安全监督管理部门接到食品安全事故报告后，应当立即会同同级卫生行政、农业行政等部门依照食品安全法第一百零五条的规定进行调查处理。食品安全监督管理部门应当对事故单位封存的食品及原料、工具、设备、设施等予以保护，需要封存而事故单位尚未封存的应当直接封存或者责令事故单位立即封存，并通知疾病预防控制机构对与事故有关的因素开展流行病学调查。 疾病预防控制机构应当在调查结束后向同级食品安全监督管理、卫生行政部门同时提交流行病学调查报告。 任何单位和个人不得拒绝、阻挠疾病预防控制机构开展流行病学调查。有关部门应当对疾病预防控制机构开展流行病学调查予以协助。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国务院食品安全监督管理部门会同国务院卫生行政、农业行政等部门定期对全国食品安全事故情况进行分析，完善食品安全监督管理措施，预防和减少事故的发生。</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第八章　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第五十九条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设区的市级以上人民政府食品安全监督管理部门根据监督管理工作需要，可以对由下级人民政府食品安全监督管理部门负责日常监督管理的食品生产经营者实施随机监督检查，也可以组织下级人民政府食品安全监督管理部门对食品生产经营者实施异地监督检查。 设区的市级以上人民政府食品安全监督管理部门认为必要的，可以直接调查处理下级人民政府食品安全监督管理部门管辖的食品安全违法案件，也可以指定其他下级人民政府食品安全监督管理部门调查处理。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国家建立食品安全检查员制度，依托现有资源加强职业化检查员队伍建设，强化考核培训，提高检查员专业化水平。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食品安全监督管理部门依照食品安全法第一百一十条的规定实施查封、扣押措施，查封、扣押的期限不得超过30日；情况复杂的，经实施查封、扣押措施的食品安全监督管理部门负责人批准，可以延长，延长期限不得超过45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网络食品交易第三方平台多次出现入网食品经营者违法经营或者入网食品经营者的违法经营行为造成严重后果的，县级以上人民政府食品安全监督管理部门可以对网络食品交易第三方平台提供者的法定代表人或者主要负责人进行责任约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食品安全监督管理部门会同国务院卫生行政等部门根据食源性疾病信息、食品安全风险监测信息和监督管理信息等，对发现的添加或者可能添加到食品中的非食品用化学物质和其他可能危害人体健康的物质，制定名录及检测方法并予以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县级以上地方人民政府卫生行政部门应当对餐具饮具集中消毒服务单位进行监督检查，发现不符合法律、法规、国家相关标准以及相关卫生规范等要求的，应当及时调查处理。监督检查的结果应当向社会公布。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实行食品安全违法行为举报奖励制度，对查证属实的举报，给予举报人奖励。举报人举报所在企业食品安全重大违法犯罪行为的，应当加大奖励力度。有关部门应当对举报人的信息予以保密，保护举报人的合法权益。食品安全违法行为举报奖励办法由国务院食品安全监督管理部门会同国务院财政等有关部门制定。 食品安全违法行为举报奖励资金纳入各级人民政府预算。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食品安全监督管理部门应当会同国务院有关部门建立守信联合激励和失信联合惩戒机制，结合食品生产经营者信用档案，建立严重违法生产经营者黑名单制度，将食品安全信用状况与准入、融资、信贷、征信等相衔接，及时向社会公布。</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第九章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有下列情形之一的，属于食品安全法第一百二十三条至第一百二十六条、第一百三十二条以及本条例第七十二条、第七十三条规定的情节严重情形： （一）违法行为涉及的产品货值金额2万元以上或者违法行为持续时间3个月以上； （二）造成食源性疾病并出现死亡病例，或者造成30人以上食源性疾病但未出现死亡病例； （三）故意提供虚假信息或者隐瞒真实情况； （四）拒绝、逃避监督检查； （五）因违反食品安全法律、法规受到行政处罚后1年内又实施同一性质的食品安全违法行为，或者因违反食品安全法律、法规受到刑事处罚后又实施食品安全违法行为； （六）其他情节严重的情形。 对情节严重的违法行为处以罚款时，应当依法从重从严。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有下列情形之一的，依照食品安全法第一百二十五条第一款、本条例第七十五条的规定给予处罚：</w:t>
      </w:r>
    </w:p>
    <w:p>
      <w:pPr>
        <w:keepNext w:val="0"/>
        <w:keepLines w:val="0"/>
        <w:pageBreakBefore w:val="0"/>
        <w:widowControl w:val="0"/>
        <w:numPr>
          <w:ilvl w:val="0"/>
          <w:numId w:val="1"/>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 xml:space="preserve">在食品生产、加工场所贮存依照本条例第六十三条规定制定的名录中的物质； </w:t>
      </w:r>
    </w:p>
    <w:p>
      <w:pPr>
        <w:keepNext w:val="0"/>
        <w:keepLines w:val="0"/>
        <w:pageBreakBefore w:val="0"/>
        <w:widowControl w:val="0"/>
        <w:numPr>
          <w:ilvl w:val="0"/>
          <w:numId w:val="1"/>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 xml:space="preserve">生产经营的保健食品之外的食品的标签、说明书声称具有保健功能； </w:t>
      </w:r>
    </w:p>
    <w:p>
      <w:pPr>
        <w:keepNext w:val="0"/>
        <w:keepLines w:val="0"/>
        <w:pageBreakBefore w:val="0"/>
        <w:widowControl w:val="0"/>
        <w:numPr>
          <w:ilvl w:val="0"/>
          <w:numId w:val="1"/>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 xml:space="preserve">以食品安全国家标准规定的选择性添加物质命名婴幼儿配方食品； </w:t>
      </w:r>
    </w:p>
    <w:p>
      <w:pPr>
        <w:keepNext w:val="0"/>
        <w:keepLines w:val="0"/>
        <w:pageBreakBefore w:val="0"/>
        <w:widowControl w:val="0"/>
        <w:numPr>
          <w:numId w:val="0"/>
        </w:numPr>
        <w:kinsoku/>
        <w:wordWrap/>
        <w:overflowPunct/>
        <w:topLinePunct w:val="0"/>
        <w:autoSpaceDE/>
        <w:autoSpaceDN/>
        <w:bidi w:val="0"/>
        <w:adjustRightInd/>
        <w:snapToGrid/>
        <w:ind w:left="800" w:leftChars="0"/>
        <w:textAlignment w:val="auto"/>
        <w:rPr>
          <w:rFonts w:hint="eastAsia"/>
          <w:sz w:val="32"/>
          <w:szCs w:val="32"/>
        </w:rPr>
      </w:pPr>
      <w:r>
        <w:rPr>
          <w:rFonts w:hint="eastAsia"/>
          <w:sz w:val="32"/>
          <w:szCs w:val="32"/>
        </w:rPr>
        <w:t>（四）生产经营的特殊食品的标签、说明书内容与注册或者备案的标签、说明书不一致。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第六十九条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有下列情形之一的，依照食品安全法第一百二十六条第一款、本条例第七十五条的规定给予处罚：</w:t>
      </w:r>
    </w:p>
    <w:p>
      <w:pPr>
        <w:keepNext w:val="0"/>
        <w:keepLines w:val="0"/>
        <w:pageBreakBefore w:val="0"/>
        <w:widowControl w:val="0"/>
        <w:numPr>
          <w:ilvl w:val="0"/>
          <w:numId w:val="2"/>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接受食品生产经营者委托贮存、运输食品，未按照规定记录保存信息；</w:t>
      </w:r>
    </w:p>
    <w:p>
      <w:pPr>
        <w:keepNext w:val="0"/>
        <w:keepLines w:val="0"/>
        <w:pageBreakBefore w:val="0"/>
        <w:widowControl w:val="0"/>
        <w:numPr>
          <w:ilvl w:val="0"/>
          <w:numId w:val="2"/>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餐饮服务提供者未查验、留存餐具饮具集中消毒服务单位的营业执照复印件和消毒合格证明；</w:t>
      </w:r>
    </w:p>
    <w:p>
      <w:pPr>
        <w:keepNext w:val="0"/>
        <w:keepLines w:val="0"/>
        <w:pageBreakBefore w:val="0"/>
        <w:widowControl w:val="0"/>
        <w:numPr>
          <w:ilvl w:val="0"/>
          <w:numId w:val="2"/>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食品生产经营者未按照规定对变质、超过保质期或者回收的食品进行标示或者存放，或者未及时对上述食品采取无害化处理、销毁等措施并如实记录；</w:t>
      </w:r>
    </w:p>
    <w:p>
      <w:pPr>
        <w:keepNext w:val="0"/>
        <w:keepLines w:val="0"/>
        <w:pageBreakBefore w:val="0"/>
        <w:widowControl w:val="0"/>
        <w:numPr>
          <w:numId w:val="0"/>
        </w:numPr>
        <w:kinsoku/>
        <w:wordWrap/>
        <w:overflowPunct/>
        <w:topLinePunct w:val="0"/>
        <w:autoSpaceDE/>
        <w:autoSpaceDN/>
        <w:bidi w:val="0"/>
        <w:adjustRightInd/>
        <w:snapToGrid/>
        <w:ind w:left="800" w:leftChars="0"/>
        <w:textAlignment w:val="auto"/>
        <w:rPr>
          <w:rFonts w:hint="eastAsia"/>
          <w:sz w:val="32"/>
          <w:szCs w:val="32"/>
        </w:rPr>
      </w:pPr>
      <w:r>
        <w:rPr>
          <w:rFonts w:hint="eastAsia"/>
          <w:sz w:val="32"/>
          <w:szCs w:val="32"/>
        </w:rPr>
        <w:t xml:space="preserve"> （四）医疗机构和药品零售企业之外的单位或者个人向消费者销售特殊医学用途配方食品中的特定全营养配方食品； （五）将特殊食品与普通食品或者药品混放销售。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除食品安全法第一百二十五条第一款、第一百二十六条规定的情形外，食品生产经营者的生产经营行为不符合食品安全法第三十三条第一款第五项、第七项至第十项的规定，或者不符合有关食品生产经营过程要求的食品安全国家标准的，依照食品安全法第一百二十六条第一款、本条例第七十五条的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餐具饮具集中消毒服务单位未按照规定建立并遵守出厂检验记录制度的，由县级以上人民政府卫生行政部门依照食品安全法第一百二十六条第一款、本条例第七十五条的规定给予处罚。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从事对温度、湿度等有特殊要求的食品贮存业务的非食品生产经营者，食品集中交易市场的开办者、食品展销会的举办者，未按照规定备案或者报告的，由县级以上人民政府食品安全监督管理部门责令改正，给予警告；拒不改正的，处1万元以上5万元以下罚款；情节严重的，责令停产停业，并处5万元以上20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利用会议、讲座、健康咨询等方式对食品进行虚假宣传的，由县级以上人民政府食品安全监督管理部门责令消除影响，有违法所得的，没收违法所得；情节严重的，依照食品安全法第一百四十条第五款的规定进行处罚；属于单位违法的，还应当依照本条例第七十五条的规定对单位的法定代表人、主要负责人、直接负责的主管人员和其他直接责任人员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生产经营的食品符合食品安全标准但不符合食品所标注的企业标准规定的食品安全指标的，由县级以上人民政府食品安全监督管理部门给予警告，并责令食品经营者停止经营该食品，责令食品生产企业改正；拒不停止经营或者改正的，没收不符合企业标准规定的食品安全指标的食品，货值金额不足1万元的，并处1万元以上5万元以下罚款，货值金额1万元以上的，并处货值金额5倍以上10倍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企业等单位有食品安全法规定的违法情形，除依照食品安全法的规定给予处罚外，有下列情形之一的，对单位的法定代表人、主要负责人、直接负责的主管人员和其他直接责任人员处以其上一年度从本单位取得收入的1倍以上10倍以下罚款：</w:t>
      </w:r>
    </w:p>
    <w:p>
      <w:pPr>
        <w:keepNext w:val="0"/>
        <w:keepLines w:val="0"/>
        <w:pageBreakBefore w:val="0"/>
        <w:widowControl w:val="0"/>
        <w:numPr>
          <w:ilvl w:val="0"/>
          <w:numId w:val="3"/>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 xml:space="preserve">故意实施违法行为； </w:t>
      </w:r>
    </w:p>
    <w:p>
      <w:pPr>
        <w:keepNext w:val="0"/>
        <w:keepLines w:val="0"/>
        <w:pageBreakBefore w:val="0"/>
        <w:widowControl w:val="0"/>
        <w:numPr>
          <w:ilvl w:val="0"/>
          <w:numId w:val="3"/>
        </w:numPr>
        <w:kinsoku/>
        <w:wordWrap/>
        <w:overflowPunct/>
        <w:topLinePunct w:val="0"/>
        <w:autoSpaceDE/>
        <w:autoSpaceDN/>
        <w:bidi w:val="0"/>
        <w:adjustRightInd/>
        <w:snapToGrid/>
        <w:ind w:left="800" w:leftChars="0" w:firstLine="0" w:firstLineChars="0"/>
        <w:textAlignment w:val="auto"/>
        <w:rPr>
          <w:rFonts w:hint="eastAsia"/>
          <w:sz w:val="32"/>
          <w:szCs w:val="32"/>
        </w:rPr>
      </w:pPr>
      <w:r>
        <w:rPr>
          <w:rFonts w:hint="eastAsia"/>
          <w:sz w:val="32"/>
          <w:szCs w:val="32"/>
        </w:rPr>
        <w:t>违法行为性质恶劣；</w:t>
      </w:r>
    </w:p>
    <w:p>
      <w:pPr>
        <w:keepNext w:val="0"/>
        <w:keepLines w:val="0"/>
        <w:pageBreakBefore w:val="0"/>
        <w:widowControl w:val="0"/>
        <w:numPr>
          <w:numId w:val="0"/>
        </w:numPr>
        <w:kinsoku/>
        <w:wordWrap/>
        <w:overflowPunct/>
        <w:topLinePunct w:val="0"/>
        <w:autoSpaceDE/>
        <w:autoSpaceDN/>
        <w:bidi w:val="0"/>
        <w:adjustRightInd/>
        <w:snapToGrid/>
        <w:ind w:left="800" w:leftChars="0"/>
        <w:textAlignment w:val="auto"/>
        <w:rPr>
          <w:rFonts w:hint="eastAsia"/>
          <w:sz w:val="32"/>
          <w:szCs w:val="32"/>
        </w:rPr>
      </w:pPr>
      <w:r>
        <w:rPr>
          <w:rFonts w:hint="eastAsia"/>
          <w:sz w:val="32"/>
          <w:szCs w:val="32"/>
        </w:rPr>
        <w:t xml:space="preserve"> （三）违法行为造成严重后果。 属于食品安全法第一百二十五条第二款规定情形的，不适用前款规定。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第七十六条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食品生产经营者依照食品安全法第六十三条第一款、第二款的规定停止生产、经营，实施食品召回，或者采取其他有效措施减轻或者消除食品安全风险，未造成危害后果的，可以从轻或者减轻处罚。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第七十七条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地方人民政府食品安全监督管理等部门对有食品安全法第一百二十三条规定的违法情形且情节严重，可能需要行政拘留的，应当及时将案件及有关材料移送同级公安机关。公安机关认为需要补充材料的，食品安全监督管理等部门应当及时提供。公安机关经审查认为不符合行政拘留条件的，应当及时将案件及有关材料退回移送的食品安全监督管理等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第七十八条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安机关对发现的食品安全违法行为，经审查没有犯罪事实或者立案侦查后认为不需要追究刑事责任，但依法应当予以行政拘留的，应当及时作出行政拘留的处罚决定；不需要予以行政拘留但依法应当追究其他行政责任的，应当及时将案件及有关材料移送同级食品安全监督管理等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第七十九条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复检机构无正当理由拒绝承担复检任务的，由县级以上人民政府食品安全监督管理部门给予警告，无正当理由1年内2次拒绝承担复检任务的，由国务院有关部门撤销其复检机构资质并向社会公布。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布未依法取得资质认定的食品检验机构出具的食品检验信息，或者利用上述检验信息对食品、食品生产经营者进行等级评定，欺骗、误导消费者的，由县级以上人民政府食品安全监督管理部门责令改正，有违法所得的，没收违法所得，并处10万元以上50万元以下罚款；拒不改正的，处50万元以上100万元以下罚款；构成违反治安管理行为的，由公安机关依法给予治安管理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第八十一条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食品安全监督管理部门依照食品安全法、本条例对违法单位或者个人处以30万元以上罚款的，由设区的市级以上人民政府食品安全监督管理部门决定。罚款具体处罚权限由国务院食品安全监督管理部门规定。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第八十二条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阻碍食品安全监督管理等部门工作人员依法执行职务，构成违反治安管理行为的，由公安机关依法给予治安管理处罚。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第八十三条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县级以上人民政府食品安全监督管理等部门发现单位或者个人违反食品安全法第一百二十条第一款规定，编造、散布虚假食品安全信息，涉嫌构成违反治安管理行为的，应当将相关情况通报同级公安机关。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第八十四条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县级以上人民政府食品安全监督管理部门及其工作人员违法向他人提供网络食品交易第三方平台提供者提供的信息的，依照食品安全法第一百四十五条的规定给予处分。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第八十五条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违反本条例规定，构成犯罪的，依法追究刑事责任。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第十章　附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第八十六条 </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本条例自2019年12月1日起施行。</w:t>
      </w:r>
    </w:p>
    <w:p>
      <w:pPr>
        <w:keepNext w:val="0"/>
        <w:keepLines w:val="0"/>
        <w:pageBreakBefore w:val="0"/>
        <w:widowControl w:val="0"/>
        <w:kinsoku/>
        <w:wordWrap/>
        <w:overflowPunct/>
        <w:topLinePunct w:val="0"/>
        <w:autoSpaceDE/>
        <w:autoSpaceDN/>
        <w:bidi w:val="0"/>
        <w:adjustRightInd/>
        <w:snapToGrid/>
        <w:ind w:firstLine="420" w:firstLineChars="200"/>
        <w:textAlignment w:val="auto"/>
      </w:pPr>
    </w:p>
    <w:sectPr>
      <w:pgSz w:w="11906" w:h="16838"/>
      <w:pgMar w:top="2098" w:right="1474" w:bottom="1984"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B4CA73"/>
    <w:multiLevelType w:val="singleLevel"/>
    <w:tmpl w:val="96B4CA73"/>
    <w:lvl w:ilvl="0" w:tentative="0">
      <w:start w:val="1"/>
      <w:numFmt w:val="chineseCounting"/>
      <w:suff w:val="nothing"/>
      <w:lvlText w:val="（%1）"/>
      <w:lvlJc w:val="left"/>
      <w:pPr>
        <w:ind w:left="800" w:leftChars="0" w:firstLine="0" w:firstLineChars="0"/>
      </w:pPr>
      <w:rPr>
        <w:rFonts w:hint="eastAsia"/>
      </w:rPr>
    </w:lvl>
  </w:abstractNum>
  <w:abstractNum w:abstractNumId="1">
    <w:nsid w:val="A65D1F52"/>
    <w:multiLevelType w:val="singleLevel"/>
    <w:tmpl w:val="A65D1F52"/>
    <w:lvl w:ilvl="0" w:tentative="0">
      <w:start w:val="1"/>
      <w:numFmt w:val="chineseCounting"/>
      <w:suff w:val="nothing"/>
      <w:lvlText w:val="（%1）"/>
      <w:lvlJc w:val="left"/>
      <w:pPr>
        <w:ind w:left="800" w:leftChars="0" w:firstLine="0" w:firstLineChars="0"/>
      </w:pPr>
      <w:rPr>
        <w:rFonts w:hint="eastAsia"/>
      </w:rPr>
    </w:lvl>
  </w:abstractNum>
  <w:abstractNum w:abstractNumId="2">
    <w:nsid w:val="664F667E"/>
    <w:multiLevelType w:val="singleLevel"/>
    <w:tmpl w:val="664F667E"/>
    <w:lvl w:ilvl="0" w:tentative="0">
      <w:start w:val="1"/>
      <w:numFmt w:val="chineseCounting"/>
      <w:suff w:val="nothing"/>
      <w:lvlText w:val="（%1）"/>
      <w:lvlJc w:val="left"/>
      <w:pPr>
        <w:ind w:left="800" w:leftChars="0" w:firstLine="0" w:firstLineChars="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692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2020-10-20T08:54:11Z</dcterms:created>
  <dc:creator>Administrator</dc:creator>
  <cp:lastModifiedBy>Administrator</cp:lastModifiedBy>
  <dcterms:modified xsi:type="dcterms:W3CDTF">2020-10-20T08:59:24Z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